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 xml:space="preserve">Министерство сельского хозяйства Российской Федерации </w:t>
      </w: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>« Алтайский государственный аграрный университет»</w:t>
      </w: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6C" w:rsidRPr="00482A6C" w:rsidRDefault="00482A6C" w:rsidP="00482A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2A6C">
        <w:rPr>
          <w:rFonts w:ascii="Times New Roman" w:hAnsi="Times New Roman" w:cs="Times New Roman"/>
          <w:b/>
          <w:sz w:val="32"/>
          <w:szCs w:val="32"/>
        </w:rPr>
        <w:t>ОТЧЕТ</w:t>
      </w:r>
    </w:p>
    <w:p w:rsidR="00482A6C" w:rsidRPr="00482A6C" w:rsidRDefault="00851C9C" w:rsidP="00482A6C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научных исследованиях за 6</w:t>
      </w:r>
      <w:r w:rsidR="004344E1">
        <w:rPr>
          <w:rFonts w:ascii="Times New Roman" w:hAnsi="Times New Roman" w:cs="Times New Roman"/>
          <w:b/>
          <w:sz w:val="32"/>
          <w:szCs w:val="32"/>
        </w:rPr>
        <w:t xml:space="preserve"> семестр</w:t>
      </w:r>
      <w:r w:rsidR="00482A6C" w:rsidRPr="00482A6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F455F" w:rsidRDefault="005F455F"/>
    <w:p w:rsidR="00482A6C" w:rsidRDefault="00482A6C"/>
    <w:p w:rsidR="00482A6C" w:rsidRDefault="00482A6C"/>
    <w:p w:rsidR="00482A6C" w:rsidRDefault="00482A6C"/>
    <w:p w:rsidR="00482A6C" w:rsidRPr="00482A6C" w:rsidRDefault="00482A6C" w:rsidP="00482A6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 xml:space="preserve">Выполнила: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Аспирантка 3 года обучения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кафедры микробиологии,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эпизоотологии, паразитологии и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ветеринарно-санитарной медицины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факультета ветеринарной медицины</w:t>
      </w:r>
    </w:p>
    <w:p w:rsidR="00A9619C" w:rsidRPr="004344E1" w:rsidRDefault="00A9619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Т.Б. Никоненко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82A6C">
        <w:rPr>
          <w:rFonts w:ascii="Times New Roman" w:hAnsi="Times New Roman" w:cs="Times New Roman"/>
          <w:b/>
          <w:sz w:val="28"/>
          <w:szCs w:val="28"/>
        </w:rPr>
        <w:t>Проверил: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Научный руководитель,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профессор,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кафедрой микробиологии,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эпизоотологии, паразитологии и 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ветеринарно-санитарной медицины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факультета ветеринарной медицины </w:t>
      </w:r>
    </w:p>
    <w:p w:rsidR="00A9619C" w:rsidRPr="004344E1" w:rsidRDefault="00A9619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Барышников</w:t>
      </w: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Pr="00851C9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482A6C" w:rsidP="00482A6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482A6C" w:rsidRDefault="00851C9C" w:rsidP="00482A6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Барнаул, 2018</w:t>
      </w:r>
    </w:p>
    <w:p w:rsidR="004344E1" w:rsidRPr="004E5BF9" w:rsidRDefault="004344E1" w:rsidP="00482A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BF9">
        <w:rPr>
          <w:rFonts w:ascii="Times New Roman" w:hAnsi="Times New Roman" w:cs="Times New Roman"/>
          <w:b/>
          <w:sz w:val="28"/>
          <w:szCs w:val="28"/>
        </w:rPr>
        <w:lastRenderedPageBreak/>
        <w:t>СОДЕРЖАНИЕ:</w:t>
      </w:r>
    </w:p>
    <w:p w:rsidR="004344E1" w:rsidRDefault="004344E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BB1" w:rsidRDefault="00236BB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BB1" w:rsidRDefault="00236BB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стр.</w:t>
      </w:r>
    </w:p>
    <w:p w:rsidR="00236BB1" w:rsidRPr="004E5BF9" w:rsidRDefault="00236BB1" w:rsidP="004344E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1C9C" w:rsidRDefault="00851C9C" w:rsidP="00851C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Сравнительный анализ схем лечения ассоциированных </w:t>
      </w:r>
    </w:p>
    <w:p w:rsidR="003466C0" w:rsidRPr="00851C9C" w:rsidRDefault="00377E06" w:rsidP="00851C9C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вирусных гастроэнтеритов ……..</w:t>
      </w:r>
      <w:r w:rsidR="00851C9C">
        <w:rPr>
          <w:rFonts w:ascii="Times New Roman" w:hAnsi="Times New Roman" w:cs="Times New Roman"/>
          <w:sz w:val="28"/>
          <w:szCs w:val="28"/>
        </w:rPr>
        <w:t>……………………………………   3</w:t>
      </w:r>
    </w:p>
    <w:p w:rsidR="004344E1" w:rsidRPr="00851C9C" w:rsidRDefault="00851C9C" w:rsidP="00851C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 лечения ассоциированных </w:t>
      </w:r>
      <w:r w:rsidRPr="00851C9C">
        <w:rPr>
          <w:rFonts w:ascii="Times New Roman" w:hAnsi="Times New Roman" w:cs="Times New Roman"/>
          <w:sz w:val="28"/>
          <w:szCs w:val="28"/>
        </w:rPr>
        <w:t>вирусных гастроэнтеритов</w:t>
      </w:r>
      <w:r w:rsidR="00236BB1" w:rsidRPr="00851C9C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.....</w:t>
      </w:r>
      <w:r w:rsidR="00661D04">
        <w:rPr>
          <w:rFonts w:ascii="Times New Roman" w:hAnsi="Times New Roman" w:cs="Times New Roman"/>
          <w:sz w:val="28"/>
          <w:szCs w:val="28"/>
        </w:rPr>
        <w:t xml:space="preserve">   6</w:t>
      </w:r>
    </w:p>
    <w:p w:rsidR="003466C0" w:rsidRDefault="004344E1" w:rsidP="004344E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Этиоло</w:t>
      </w:r>
      <w:r w:rsidR="00236BB1">
        <w:rPr>
          <w:rFonts w:ascii="Times New Roman" w:hAnsi="Times New Roman" w:cs="Times New Roman"/>
          <w:sz w:val="28"/>
          <w:szCs w:val="28"/>
        </w:rPr>
        <w:t xml:space="preserve">гическая структура </w:t>
      </w:r>
      <w:proofErr w:type="gramStart"/>
      <w:r w:rsidR="00236BB1">
        <w:rPr>
          <w:rFonts w:ascii="Times New Roman" w:hAnsi="Times New Roman" w:cs="Times New Roman"/>
          <w:sz w:val="28"/>
          <w:szCs w:val="28"/>
        </w:rPr>
        <w:t>инфекционных</w:t>
      </w:r>
      <w:proofErr w:type="gramEnd"/>
    </w:p>
    <w:p w:rsidR="004344E1" w:rsidRDefault="00851C9C" w:rsidP="003466C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бронхопневмоний</w:t>
      </w:r>
      <w:r w:rsidR="00377E06">
        <w:rPr>
          <w:rFonts w:ascii="Times New Roman" w:hAnsi="Times New Roman" w:cs="Times New Roman"/>
          <w:sz w:val="28"/>
          <w:szCs w:val="28"/>
        </w:rPr>
        <w:t xml:space="preserve"> ……..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661D04">
        <w:rPr>
          <w:rFonts w:ascii="Times New Roman" w:hAnsi="Times New Roman" w:cs="Times New Roman"/>
          <w:sz w:val="28"/>
          <w:szCs w:val="28"/>
        </w:rPr>
        <w:t xml:space="preserve">  10</w:t>
      </w:r>
    </w:p>
    <w:p w:rsidR="003466C0" w:rsidRDefault="003466C0" w:rsidP="003466C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466C0" w:rsidRDefault="003466C0" w:rsidP="003466C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236BB1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661D04">
        <w:rPr>
          <w:rFonts w:ascii="Times New Roman" w:hAnsi="Times New Roman" w:cs="Times New Roman"/>
          <w:sz w:val="28"/>
          <w:szCs w:val="28"/>
        </w:rPr>
        <w:t xml:space="preserve">   14</w:t>
      </w:r>
      <w:bookmarkStart w:id="0" w:name="_GoBack"/>
      <w:bookmarkEnd w:id="0"/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344E1" w:rsidRDefault="004344E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36BB1" w:rsidRDefault="00236BB1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4344E1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51C9C" w:rsidRPr="00377E06" w:rsidRDefault="00851C9C" w:rsidP="00851C9C">
      <w:pPr>
        <w:ind w:righ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lastRenderedPageBreak/>
        <w:t>Сравнительный анализ схем лечения ассоциированных вирусных гастроэнтеритов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>Цель исследования:</w:t>
      </w:r>
      <w:r w:rsidRPr="00377E06">
        <w:rPr>
          <w:rFonts w:ascii="Times New Roman" w:hAnsi="Times New Roman" w:cs="Times New Roman"/>
          <w:sz w:val="28"/>
          <w:szCs w:val="28"/>
        </w:rPr>
        <w:t xml:space="preserve"> провести сравнительный анализ схем лечения вирусных гастроэнтеритов, осложненных ассоциациями условно-патогенными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энтеробактериями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и гельминтами.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>Задачи исследования:</w:t>
      </w:r>
    </w:p>
    <w:p w:rsidR="00851C9C" w:rsidRPr="00377E06" w:rsidRDefault="00851C9C" w:rsidP="00851C9C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При лечении больных собак применить следующие схемы:</w:t>
      </w:r>
    </w:p>
    <w:p w:rsidR="00851C9C" w:rsidRPr="00377E06" w:rsidRDefault="00851C9C" w:rsidP="00851C9C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51C9C" w:rsidRPr="00377E06" w:rsidRDefault="00851C9C" w:rsidP="00851C9C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i/>
          <w:sz w:val="28"/>
          <w:szCs w:val="28"/>
        </w:rPr>
        <w:t xml:space="preserve">              Схема № 1</w:t>
      </w:r>
      <w:r w:rsidRPr="00377E06">
        <w:rPr>
          <w:rFonts w:ascii="Times New Roman" w:hAnsi="Times New Roman" w:cs="Times New Roman"/>
          <w:sz w:val="28"/>
          <w:szCs w:val="28"/>
        </w:rPr>
        <w:t>: Глобкан-5, супрастин, фоспренил, максидин, 0,9% изотонический раствор натрия хлорида, гемобаланс, раствор Рингера, ципровет 5%, авертель, ветом 1.1., ковертал, веракол, квамантел, мексидол-Вет, серения.</w:t>
      </w:r>
    </w:p>
    <w:p w:rsidR="00851C9C" w:rsidRPr="00377E06" w:rsidRDefault="00851C9C" w:rsidP="00851C9C">
      <w:pPr>
        <w:pStyle w:val="a4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51C9C" w:rsidRPr="00377E06" w:rsidRDefault="00851C9C" w:rsidP="00851C9C">
      <w:pPr>
        <w:pStyle w:val="a4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i/>
          <w:sz w:val="28"/>
          <w:szCs w:val="28"/>
        </w:rPr>
        <w:t xml:space="preserve">              Схема № 2</w:t>
      </w:r>
      <w:r w:rsidRPr="00377E06">
        <w:rPr>
          <w:rFonts w:ascii="Times New Roman" w:hAnsi="Times New Roman" w:cs="Times New Roman"/>
          <w:sz w:val="28"/>
          <w:szCs w:val="28"/>
        </w:rPr>
        <w:t>: Азоксивет, 0,9% изотонический раствор натрия хлорида, гемобаланс, раствор Рингера, ципровет 5%, авертель, ветом 1.1., ковертал, веракол, квамантел, мексидол-Вет, серения.</w:t>
      </w:r>
    </w:p>
    <w:p w:rsidR="00851C9C" w:rsidRPr="00377E06" w:rsidRDefault="00851C9C" w:rsidP="00851C9C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51C9C" w:rsidRPr="00377E06" w:rsidRDefault="00851C9C" w:rsidP="00851C9C">
      <w:pPr>
        <w:pStyle w:val="a4"/>
        <w:numPr>
          <w:ilvl w:val="0"/>
          <w:numId w:val="1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Выявить терапевтическую эффективность предлагаемых способов лечения.</w:t>
      </w:r>
    </w:p>
    <w:p w:rsidR="00851C9C" w:rsidRPr="00377E06" w:rsidRDefault="00851C9C" w:rsidP="00851C9C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1C9C" w:rsidRPr="00377E06" w:rsidRDefault="00851C9C" w:rsidP="00851C9C">
      <w:pPr>
        <w:pStyle w:val="a4"/>
        <w:ind w:left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7E06">
        <w:rPr>
          <w:rFonts w:ascii="Times New Roman" w:hAnsi="Times New Roman" w:cs="Times New Roman"/>
          <w:i/>
          <w:sz w:val="28"/>
          <w:szCs w:val="28"/>
        </w:rPr>
        <w:t>Материалы и методы исследования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Исследования проводили на кафедре микробиологии, эпизоотологии, паразитологии и ВСЭ Алтайского ГАУ. Испытания предлагаемых схем лечения произведены на базе питомника К-9 г. Иркутск и государственной ветеринарной клиники г. Черемхово Иркутской области. Объектом исследования являлись 11 больных ассоциированными вирусными гастроэнтеритами беспородных собак в возрасте до 1 года. Животные были разделены на две группы по методу сбалансированных групп-аналогов. При формировании групп учитывали максимально схожие диагнозы по клиническим признакам и результатам вирусологических, бактериологических и копрологических исследований. В группе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собак в количестве 5 голов лечили в условиях питомника К-9 г. по схеме № 1, 6 собак группы Б – в ветеринарной клинике г. Черемхово по схеме № 2. При оценке терапевтической эффективности двух способов лечения учитывали число выздоровевших и павших, показатели выздоровления и летальности, а также период лечения и длительность болезни в днях. 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lastRenderedPageBreak/>
        <w:t xml:space="preserve">Обработку полученных данных проводили общепринятыми методами описательной статистики с использованием компьютерной программы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377E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7E06">
        <w:rPr>
          <w:rFonts w:ascii="Times New Roman" w:hAnsi="Times New Roman" w:cs="Times New Roman"/>
          <w:i/>
          <w:sz w:val="28"/>
          <w:szCs w:val="28"/>
        </w:rPr>
        <w:t>Результаты и их обсуждение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По данным анамнеза больных собак, участвующих в опыте, были выявлены следующие клинические признаки: угнетение, вялость и сонливость, высокая температура тела 39,9±0,06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 xml:space="preserve"> ºС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, тяжелая рвота, профузный понос со зловонным ихорозным запахом и примесью крови, при пальпации живота выраженная болезненность. Результаты лабораторных исследований показывали, что на фоне смешанного корона-парвовирусного гастроэнтерита были выделены 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77E06">
        <w:rPr>
          <w:rFonts w:ascii="Times New Roman" w:hAnsi="Times New Roman" w:cs="Times New Roman"/>
          <w:sz w:val="28"/>
          <w:szCs w:val="28"/>
        </w:rPr>
        <w:t>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77E06">
        <w:rPr>
          <w:rFonts w:ascii="Times New Roman" w:hAnsi="Times New Roman" w:cs="Times New Roman"/>
          <w:sz w:val="28"/>
          <w:szCs w:val="28"/>
        </w:rPr>
        <w:t>2,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</w:rPr>
        <w:t>Е.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77E06">
        <w:rPr>
          <w:rFonts w:ascii="Times New Roman" w:hAnsi="Times New Roman" w:cs="Times New Roman"/>
          <w:sz w:val="28"/>
          <w:szCs w:val="28"/>
        </w:rPr>
        <w:t>8, Е.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77E06">
        <w:rPr>
          <w:rFonts w:ascii="Times New Roman" w:hAnsi="Times New Roman" w:cs="Times New Roman"/>
          <w:sz w:val="28"/>
          <w:szCs w:val="28"/>
        </w:rPr>
        <w:t xml:space="preserve">121,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Pr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77E06">
        <w:rPr>
          <w:rFonts w:ascii="Times New Roman" w:hAnsi="Times New Roman" w:cs="Times New Roman"/>
          <w:sz w:val="28"/>
          <w:szCs w:val="28"/>
        </w:rPr>
        <w:t xml:space="preserve"> С.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freundii</w:t>
      </w:r>
      <w:r w:rsidRPr="00377E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St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feacalis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Pr.vulgaris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. Бактериальные патогены были представлены в разных сочетаниях, составляющие 2-х или 3-х компонентные ассоциации. Кроме этого во всех случаях были выделены гельминты - </w:t>
      </w:r>
      <w:proofErr w:type="spellStart"/>
      <w:r w:rsidRPr="00377E06">
        <w:rPr>
          <w:rFonts w:ascii="Times New Roman" w:hAnsi="Times New Roman" w:cs="Times New Roman"/>
          <w:sz w:val="28"/>
          <w:szCs w:val="28"/>
          <w:lang w:val="en-US"/>
        </w:rPr>
        <w:t>Toxocara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E06">
        <w:rPr>
          <w:rFonts w:ascii="Times New Roman" w:hAnsi="Times New Roman" w:cs="Times New Roman"/>
          <w:sz w:val="28"/>
          <w:szCs w:val="28"/>
          <w:lang w:val="en-US"/>
        </w:rPr>
        <w:t>canis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>.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Исходя из этого, были разработаны две схемы лечения, строящиеся по единому принципу комплексной терапии инфекционных болезней. Данные схемы отличаются лишь составом противовирусного препарата и иммуномодуляторов: Глобкан-5, Фоспренил и Максидин (Схема № 1) и Азоксивет (Схема № 2). Лабораторное исследование чувствительности выделенной микрофлоры к антибиотикам определило выбор антибактериального препарата Ципровет, который содержит в качестве действующего вещества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ципрофлоксацин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и имеет удобную лекарственную форму в виде 5%-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раствора для инъекций. Из многообразия противопаразитарных препаратов рекомендуется Авертель, обладающего широким спектром действия (в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. и в отношении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токсокароза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), выпускаемого также в удобной лекарственной форме в виде раствора для инъекций и применяемого однократно в дозе 1мл в первые дни лечения. 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77E06">
        <w:rPr>
          <w:rFonts w:ascii="Times New Roman" w:hAnsi="Times New Roman" w:cs="Times New Roman"/>
          <w:i/>
          <w:sz w:val="28"/>
          <w:szCs w:val="28"/>
        </w:rPr>
        <w:t>Таблица 1.</w:t>
      </w:r>
    </w:p>
    <w:p w:rsidR="00851C9C" w:rsidRPr="00377E06" w:rsidRDefault="00851C9C" w:rsidP="00851C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>Сравнительная характеристика терапевтической эффективности</w:t>
      </w:r>
    </w:p>
    <w:p w:rsidR="00851C9C" w:rsidRPr="00377E06" w:rsidRDefault="00851C9C" w:rsidP="00851C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 xml:space="preserve"> двух схем лечения собак больных вирусными гастроэнтеритами, </w:t>
      </w:r>
    </w:p>
    <w:p w:rsidR="00851C9C" w:rsidRPr="00377E06" w:rsidRDefault="00851C9C" w:rsidP="00851C9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77E06">
        <w:rPr>
          <w:rFonts w:ascii="Times New Roman" w:hAnsi="Times New Roman" w:cs="Times New Roman"/>
          <w:b/>
          <w:sz w:val="28"/>
          <w:szCs w:val="28"/>
        </w:rPr>
        <w:t xml:space="preserve">ассоциированными с патогенными </w:t>
      </w:r>
      <w:proofErr w:type="spellStart"/>
      <w:r w:rsidRPr="00377E06">
        <w:rPr>
          <w:rFonts w:ascii="Times New Roman" w:hAnsi="Times New Roman" w:cs="Times New Roman"/>
          <w:b/>
          <w:sz w:val="28"/>
          <w:szCs w:val="28"/>
        </w:rPr>
        <w:t>энтеробактериями</w:t>
      </w:r>
      <w:proofErr w:type="spellEnd"/>
      <w:r w:rsidRPr="00377E06">
        <w:rPr>
          <w:rFonts w:ascii="Times New Roman" w:hAnsi="Times New Roman" w:cs="Times New Roman"/>
          <w:b/>
          <w:sz w:val="28"/>
          <w:szCs w:val="28"/>
        </w:rPr>
        <w:t xml:space="preserve"> и гельминтами </w:t>
      </w:r>
      <w:proofErr w:type="gramEnd"/>
    </w:p>
    <w:p w:rsidR="00851C9C" w:rsidRPr="00377E06" w:rsidRDefault="00851C9C" w:rsidP="00851C9C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10802" w:type="dxa"/>
        <w:jc w:val="center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80" w:firstRow="0" w:lastRow="0" w:firstColumn="1" w:lastColumn="0" w:noHBand="0" w:noVBand="1"/>
      </w:tblPr>
      <w:tblGrid>
        <w:gridCol w:w="1095"/>
        <w:gridCol w:w="1032"/>
        <w:gridCol w:w="1553"/>
        <w:gridCol w:w="1187"/>
        <w:gridCol w:w="622"/>
        <w:gridCol w:w="1316"/>
        <w:gridCol w:w="807"/>
        <w:gridCol w:w="1550"/>
        <w:gridCol w:w="1640"/>
      </w:tblGrid>
      <w:tr w:rsidR="00851C9C" w:rsidRPr="00377E06" w:rsidTr="00377E06">
        <w:trPr>
          <w:trHeight w:val="1469"/>
          <w:jc w:val="center"/>
        </w:trPr>
        <w:tc>
          <w:tcPr>
            <w:tcW w:w="1095" w:type="dxa"/>
            <w:shd w:val="clear" w:color="auto" w:fill="auto"/>
          </w:tcPr>
          <w:p w:rsidR="00851C9C" w:rsidRPr="00377E06" w:rsidRDefault="00851C9C" w:rsidP="00D376B3">
            <w:pPr>
              <w:ind w:left="-27" w:firstLine="27"/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Группа</w:t>
            </w:r>
          </w:p>
        </w:tc>
        <w:tc>
          <w:tcPr>
            <w:tcW w:w="1032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Схема лечения</w:t>
            </w:r>
          </w:p>
        </w:tc>
        <w:tc>
          <w:tcPr>
            <w:tcW w:w="1553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 xml:space="preserve">Количество испытуемых больных собак, </w:t>
            </w:r>
            <w:r w:rsidRPr="00377E06">
              <w:rPr>
                <w:rFonts w:ascii="Times New Roman" w:hAnsi="Times New Roman" w:cs="Times New Roman"/>
              </w:rPr>
              <w:t>голов</w:t>
            </w:r>
          </w:p>
        </w:tc>
        <w:tc>
          <w:tcPr>
            <w:tcW w:w="118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377E06">
              <w:rPr>
                <w:rFonts w:ascii="Times New Roman" w:hAnsi="Times New Roman" w:cs="Times New Roman"/>
                <w:b/>
              </w:rPr>
              <w:t>Выздоро</w:t>
            </w:r>
            <w:proofErr w:type="spellEnd"/>
            <w:r w:rsidRPr="00377E06">
              <w:rPr>
                <w:rFonts w:ascii="Times New Roman" w:hAnsi="Times New Roman" w:cs="Times New Roman"/>
                <w:b/>
              </w:rPr>
              <w:t>-вело</w:t>
            </w:r>
            <w:proofErr w:type="gramEnd"/>
            <w:r w:rsidRPr="00377E06">
              <w:rPr>
                <w:rFonts w:ascii="Times New Roman" w:hAnsi="Times New Roman" w:cs="Times New Roman"/>
                <w:b/>
              </w:rPr>
              <w:t xml:space="preserve">, </w:t>
            </w:r>
            <w:r w:rsidRPr="00377E06">
              <w:rPr>
                <w:rFonts w:ascii="Times New Roman" w:hAnsi="Times New Roman" w:cs="Times New Roman"/>
              </w:rPr>
              <w:t>голов</w:t>
            </w:r>
          </w:p>
        </w:tc>
        <w:tc>
          <w:tcPr>
            <w:tcW w:w="622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16" w:type="dxa"/>
          </w:tcPr>
          <w:p w:rsidR="00851C9C" w:rsidRPr="00377E06" w:rsidRDefault="00851C9C" w:rsidP="00D376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Период лечения,</w:t>
            </w:r>
          </w:p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</w:rPr>
              <w:t>дней</w:t>
            </w:r>
          </w:p>
        </w:tc>
        <w:tc>
          <w:tcPr>
            <w:tcW w:w="80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 xml:space="preserve">Пало, </w:t>
            </w:r>
            <w:r w:rsidRPr="00377E06">
              <w:rPr>
                <w:rFonts w:ascii="Times New Roman" w:hAnsi="Times New Roman" w:cs="Times New Roman"/>
              </w:rPr>
              <w:t>голов</w:t>
            </w:r>
          </w:p>
        </w:tc>
        <w:tc>
          <w:tcPr>
            <w:tcW w:w="1550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 xml:space="preserve">Летальность, </w:t>
            </w:r>
            <w:r w:rsidRPr="00377E0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640" w:type="dxa"/>
          </w:tcPr>
          <w:p w:rsidR="00851C9C" w:rsidRPr="00377E06" w:rsidRDefault="00851C9C" w:rsidP="00D376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Длительность болезни,</w:t>
            </w:r>
          </w:p>
          <w:p w:rsidR="00851C9C" w:rsidRPr="00377E06" w:rsidRDefault="00851C9C" w:rsidP="00D376B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дней</w:t>
            </w:r>
          </w:p>
        </w:tc>
      </w:tr>
      <w:tr w:rsidR="00851C9C" w:rsidRPr="00377E06" w:rsidTr="00377E06">
        <w:trPr>
          <w:jc w:val="center"/>
        </w:trPr>
        <w:tc>
          <w:tcPr>
            <w:tcW w:w="1095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032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№ 1</w:t>
            </w:r>
          </w:p>
        </w:tc>
        <w:tc>
          <w:tcPr>
            <w:tcW w:w="1553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22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16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11,3±0,67</w:t>
            </w:r>
          </w:p>
        </w:tc>
        <w:tc>
          <w:tcPr>
            <w:tcW w:w="80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6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4,5±0,5</w:t>
            </w:r>
          </w:p>
        </w:tc>
      </w:tr>
      <w:tr w:rsidR="00851C9C" w:rsidRPr="00377E06" w:rsidTr="00377E06">
        <w:trPr>
          <w:jc w:val="center"/>
        </w:trPr>
        <w:tc>
          <w:tcPr>
            <w:tcW w:w="1095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32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№ 2</w:t>
            </w:r>
          </w:p>
        </w:tc>
        <w:tc>
          <w:tcPr>
            <w:tcW w:w="1553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8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22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83,3</w:t>
            </w:r>
          </w:p>
        </w:tc>
        <w:tc>
          <w:tcPr>
            <w:tcW w:w="1316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11,6±0,51</w:t>
            </w:r>
          </w:p>
        </w:tc>
        <w:tc>
          <w:tcPr>
            <w:tcW w:w="80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6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</w:rPr>
            </w:pPr>
            <w:r w:rsidRPr="00377E06">
              <w:rPr>
                <w:rFonts w:ascii="Times New Roman" w:hAnsi="Times New Roman" w:cs="Times New Roman"/>
              </w:rPr>
              <w:t>7</w:t>
            </w:r>
          </w:p>
        </w:tc>
      </w:tr>
      <w:tr w:rsidR="00851C9C" w:rsidRPr="00377E06" w:rsidTr="00377E06">
        <w:trPr>
          <w:jc w:val="center"/>
        </w:trPr>
        <w:tc>
          <w:tcPr>
            <w:tcW w:w="2127" w:type="dxa"/>
            <w:gridSpan w:val="2"/>
            <w:shd w:val="clear" w:color="auto" w:fill="auto"/>
          </w:tcPr>
          <w:p w:rsidR="00851C9C" w:rsidRPr="00377E06" w:rsidRDefault="00851C9C" w:rsidP="00D376B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lastRenderedPageBreak/>
              <w:t>Всего:</w:t>
            </w:r>
          </w:p>
        </w:tc>
        <w:tc>
          <w:tcPr>
            <w:tcW w:w="1553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8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22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72,7</w:t>
            </w:r>
          </w:p>
        </w:tc>
        <w:tc>
          <w:tcPr>
            <w:tcW w:w="1316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11,5±0,38</w:t>
            </w:r>
          </w:p>
        </w:tc>
        <w:tc>
          <w:tcPr>
            <w:tcW w:w="807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27,3</w:t>
            </w:r>
          </w:p>
        </w:tc>
        <w:tc>
          <w:tcPr>
            <w:tcW w:w="16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7E06">
              <w:rPr>
                <w:rFonts w:ascii="Times New Roman" w:hAnsi="Times New Roman" w:cs="Times New Roman"/>
                <w:b/>
              </w:rPr>
              <w:t>5,3±0,88</w:t>
            </w:r>
          </w:p>
        </w:tc>
      </w:tr>
    </w:tbl>
    <w:p w:rsidR="00851C9C" w:rsidRPr="00377E06" w:rsidRDefault="00851C9C" w:rsidP="00851C9C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9C" w:rsidRPr="00377E06" w:rsidRDefault="00851C9C" w:rsidP="00851C9C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7E06">
        <w:rPr>
          <w:rFonts w:ascii="Times New Roman" w:hAnsi="Times New Roman" w:cs="Times New Roman"/>
          <w:sz w:val="28"/>
          <w:szCs w:val="28"/>
        </w:rPr>
        <w:t>Симптоматическое лечение было направлено на восстановление водно-солевого баланса (внутривенно гемобаланс 1 раз в 2 дня, 0,9%-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изотонический раствор натрия хлорида и раствор Рингера 2 раза в день), устранение рвоты (подкожно Серения 1 мл на 10 кг массы тела собаки не более 5 дней), понижения количества и концентрации желудочного сока (Квамател 10 мг на 10 кг массы тела собаки 1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раз в день), очистительные клизмы в первые 3-4 дня (на 1 л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дистилированной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воды 50 г. Ветом 1.1. 2 раза в день), устранения 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недостаточности и снятия интоксикации (Мексидол-Вет 5-10 мл на 10 кг массы тела животного 1 раз в день). Для восстановления функций желудочно-кишечного тракта рекомендованы комплексные гомеопатические препараты Ковертал и Веракол – подкожно по 1 мл на 10 кг 2 раза в день. Для восстановления нормальной микрофлоры на 5-6 день лечения внутрь показан Ветом 1.1.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При применении Схемы № 1 в группе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установлен падеж двух собак на 4-ый и 5-ый дни после начала заболевания, летальность при этом составила 40%. Кроме этого из 5 собак выздоровело 3 головы, где показатель выздоровления равен 60%, а период лечения в среднем составил 11,3±0,67 дней. При терапии больных собак группы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с применением Схемы № 2 оказалось, что из 6 животных пала только 1 голова на 7-ой день заболевания, показатели летальности и выздоровления составили 16,6 % и 83,3% соответственно, период лечения продлился в среднем 11,6±0,51 дней (Таблица 1).</w:t>
      </w:r>
    </w:p>
    <w:p w:rsidR="00851C9C" w:rsidRPr="00377E06" w:rsidRDefault="00851C9C" w:rsidP="00851C9C">
      <w:pPr>
        <w:tabs>
          <w:tab w:val="left" w:pos="567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При применении двух терапевтических схем установлено, что из 11 больных животных 8 голов выздоровело (72,7%), а 3 головы пало (летальность составила 27,3%), и, не смотря на лечение, длительность болезни при этом составила 5,3±0,88 дней. </w:t>
      </w:r>
    </w:p>
    <w:p w:rsidR="00851C9C" w:rsidRPr="00377E06" w:rsidRDefault="00851C9C" w:rsidP="00851C9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77E06">
        <w:rPr>
          <w:rFonts w:ascii="Times New Roman" w:hAnsi="Times New Roman" w:cs="Times New Roman"/>
          <w:i/>
          <w:sz w:val="28"/>
          <w:szCs w:val="28"/>
        </w:rPr>
        <w:t>Заключение:</w:t>
      </w:r>
    </w:p>
    <w:p w:rsidR="00851C9C" w:rsidRPr="00377E06" w:rsidRDefault="00851C9C" w:rsidP="00851C9C">
      <w:pPr>
        <w:numPr>
          <w:ilvl w:val="0"/>
          <w:numId w:val="14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Не смотря на незначительное увеличение периода лечения в среднем на 0,3 дня, Схема № 2, по сравнению со Схемой № 1, показала наибольший терапевтический эффект.</w:t>
      </w:r>
    </w:p>
    <w:p w:rsidR="00851C9C" w:rsidRPr="00377E06" w:rsidRDefault="00851C9C" w:rsidP="00851C9C">
      <w:pPr>
        <w:numPr>
          <w:ilvl w:val="0"/>
          <w:numId w:val="14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Применение иммуномодулятора Азоксивет при лечении ассоциированных вирусных гастроэнтеритов у собак дает лучший результат по сравнению с комплексным применением иммуноглобулина Глобкан-5 с иммуномодуляторами Фоспренил и Максидин.</w:t>
      </w:r>
    </w:p>
    <w:p w:rsidR="00851C9C" w:rsidRDefault="00851C9C" w:rsidP="00851C9C">
      <w:pPr>
        <w:tabs>
          <w:tab w:val="left" w:pos="567"/>
        </w:tabs>
        <w:spacing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661D04" w:rsidRPr="00377E06" w:rsidRDefault="00661D04" w:rsidP="00851C9C">
      <w:pPr>
        <w:tabs>
          <w:tab w:val="left" w:pos="567"/>
        </w:tabs>
        <w:spacing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3466C0" w:rsidRPr="00377E06" w:rsidRDefault="00851C9C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lastRenderedPageBreak/>
        <w:t>Схема лечения ассоциированных вирусных гастроэнтеритов собак</w:t>
      </w:r>
    </w:p>
    <w:p w:rsidR="003466C0" w:rsidRPr="00377E06" w:rsidRDefault="003466C0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51C9C" w:rsidRPr="00377E06" w:rsidRDefault="00851C9C" w:rsidP="00851C9C">
      <w:pPr>
        <w:ind w:right="11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>Ц</w:t>
      </w:r>
      <w:r w:rsidR="00377E06" w:rsidRPr="00377E06">
        <w:rPr>
          <w:rFonts w:ascii="Times New Roman" w:hAnsi="Times New Roman" w:cs="Times New Roman"/>
          <w:b/>
          <w:sz w:val="28"/>
          <w:szCs w:val="28"/>
        </w:rPr>
        <w:t>ель работы</w:t>
      </w:r>
      <w:r w:rsidRPr="00377E06">
        <w:rPr>
          <w:rFonts w:ascii="Times New Roman" w:hAnsi="Times New Roman" w:cs="Times New Roman"/>
          <w:sz w:val="28"/>
          <w:szCs w:val="28"/>
        </w:rPr>
        <w:t xml:space="preserve"> - разработать схему лечения ассоциированных вирусных гастроэнтеритов собак и в рамках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проспективного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анализа произвести оценку её терапевтического эффекта. 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 xml:space="preserve">Материалы и методы исследования. </w:t>
      </w:r>
      <w:r w:rsidRPr="00377E06">
        <w:rPr>
          <w:rFonts w:ascii="Times New Roman" w:hAnsi="Times New Roman" w:cs="Times New Roman"/>
          <w:sz w:val="28"/>
          <w:szCs w:val="28"/>
        </w:rPr>
        <w:t>В качестве терапии ассоциированных вирусных гастроэнтеритов собак применена следующая схема лечения: Азоксивет, 0,9% изотонический раствор натрия хлорида, гемобаланс, раствор Рингера, ципровет 5%, авертель, ветом 1.1., ковертал, веракол, квамантел, мексидол-Вет, серения. Данную схему испытывали на 6 больных беспородных собак в возрасте до 1 года, находящихся на лечении в государственной ветеринарной клинике г. Черемхово Иркутской области. По данным анамнеза больных животных, участвующих в опыте, были выявлены следующие клинические признаки: угнетение, вялость и сонливость, высокая температура тела 39,9±0,06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 xml:space="preserve"> ºС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, тяжелая рвота, профузный понос со зловонным ихорозным запахом и примесью крови, при пальпации живота выраженная болезненность. Результаты лабораторных исследований показывали, что на фоне смешанного корона-парвовирусного гастроэнтерита были выделены патогенные 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77E06">
        <w:rPr>
          <w:rFonts w:ascii="Times New Roman" w:hAnsi="Times New Roman" w:cs="Times New Roman"/>
          <w:sz w:val="28"/>
          <w:szCs w:val="28"/>
        </w:rPr>
        <w:t>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77E06">
        <w:rPr>
          <w:rFonts w:ascii="Times New Roman" w:hAnsi="Times New Roman" w:cs="Times New Roman"/>
          <w:sz w:val="28"/>
          <w:szCs w:val="28"/>
        </w:rPr>
        <w:t>2,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</w:rPr>
        <w:t>Е.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77E06">
        <w:rPr>
          <w:rFonts w:ascii="Times New Roman" w:hAnsi="Times New Roman" w:cs="Times New Roman"/>
          <w:sz w:val="28"/>
          <w:szCs w:val="28"/>
        </w:rPr>
        <w:t>8, Е.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377E06">
        <w:rPr>
          <w:rFonts w:ascii="Times New Roman" w:hAnsi="Times New Roman" w:cs="Times New Roman"/>
          <w:sz w:val="28"/>
          <w:szCs w:val="28"/>
        </w:rPr>
        <w:t xml:space="preserve">121,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Pr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mirabilis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77E06">
        <w:rPr>
          <w:rFonts w:ascii="Times New Roman" w:hAnsi="Times New Roman" w:cs="Times New Roman"/>
          <w:sz w:val="28"/>
          <w:szCs w:val="28"/>
        </w:rPr>
        <w:t xml:space="preserve"> С.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freundii</w:t>
      </w:r>
      <w:r w:rsidRPr="00377E0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St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feacalis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377E06">
        <w:rPr>
          <w:rFonts w:ascii="Times New Roman" w:hAnsi="Times New Roman" w:cs="Times New Roman"/>
          <w:color w:val="000000"/>
          <w:sz w:val="28"/>
          <w:szCs w:val="28"/>
        </w:rPr>
        <w:t>Pr.vulgaris</w:t>
      </w:r>
      <w:proofErr w:type="spellEnd"/>
      <w:r w:rsidRPr="00377E06">
        <w:rPr>
          <w:rFonts w:ascii="Times New Roman" w:hAnsi="Times New Roman" w:cs="Times New Roman"/>
          <w:color w:val="000000"/>
          <w:sz w:val="28"/>
          <w:szCs w:val="28"/>
        </w:rPr>
        <w:t xml:space="preserve">. Бактериальные патогены были представлены в разных сочетаниях, составляющие 2-х или 3-х компонентные ассоциации. Кроме этого во всех случаях были выделены гельминты - </w:t>
      </w:r>
      <w:proofErr w:type="spellStart"/>
      <w:r w:rsidRPr="00377E06">
        <w:rPr>
          <w:rFonts w:ascii="Times New Roman" w:hAnsi="Times New Roman" w:cs="Times New Roman"/>
          <w:sz w:val="28"/>
          <w:szCs w:val="28"/>
          <w:lang w:val="en-US"/>
        </w:rPr>
        <w:t>Toxocara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E06">
        <w:rPr>
          <w:rFonts w:ascii="Times New Roman" w:hAnsi="Times New Roman" w:cs="Times New Roman"/>
          <w:sz w:val="28"/>
          <w:szCs w:val="28"/>
          <w:lang w:val="en-US"/>
        </w:rPr>
        <w:t>canis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До и после лечения у собак производился отбор проб крови, которые в условиях диагностической лаборатории подвергли гематологическим и биохимическим исследованиям. Гематологические исследования проводили с помощью автоматического гематологического анализатора «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Micro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CC</w:t>
      </w:r>
      <w:r w:rsidRPr="00377E06">
        <w:rPr>
          <w:rFonts w:ascii="Times New Roman" w:hAnsi="Times New Roman" w:cs="Times New Roman"/>
          <w:sz w:val="28"/>
          <w:szCs w:val="28"/>
        </w:rPr>
        <w:t xml:space="preserve">-20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Plus</w:t>
      </w:r>
      <w:r w:rsidRPr="00377E06">
        <w:rPr>
          <w:rFonts w:ascii="Times New Roman" w:hAnsi="Times New Roman" w:cs="Times New Roman"/>
          <w:sz w:val="28"/>
          <w:szCs w:val="28"/>
        </w:rPr>
        <w:t xml:space="preserve">» по 20-ти показателям, биохимические – на анализаторе «БИОЛАБ-100» по 8–ми показателям. 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Обработку полученных данных проводили общепринятыми методами описательной статистики с использованием компьютерной программы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377E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 xml:space="preserve">Результаты и их обсуждение. </w:t>
      </w:r>
      <w:r w:rsidRPr="00377E06">
        <w:rPr>
          <w:rFonts w:ascii="Times New Roman" w:hAnsi="Times New Roman" w:cs="Times New Roman"/>
          <w:sz w:val="28"/>
          <w:szCs w:val="28"/>
        </w:rPr>
        <w:t xml:space="preserve">При терапии больных собак по предлагаемой схеме оказалось, что из 6 животных пала только 1 голова на 7-ой день заболевания, показатели летальности и выздоровления составили </w:t>
      </w:r>
      <w:r w:rsidRPr="00377E06">
        <w:rPr>
          <w:rFonts w:ascii="Times New Roman" w:hAnsi="Times New Roman" w:cs="Times New Roman"/>
          <w:sz w:val="28"/>
          <w:szCs w:val="28"/>
        </w:rPr>
        <w:lastRenderedPageBreak/>
        <w:t xml:space="preserve">16,6 % и 83,3% соответственно, период лечения продлился в среднем 11,6±0,51 дней. 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Полученные результаты гематологических и биохимических исследований крови собак, участвующих в опыте, представлены в Таблице № 1. Из таблицы видно, что в результате гематологических исследований до начала лечения у больных собак на фоне лимфопении наблюдался выраженный лейкоцитоз, высокий уровень средних клеток крови (базофилы и эозинофилы) и гранулоцитоз. При этом наблюдалось уменьшение уровня эритроцитов и гемоглобина в крови, а также низкий гематокрит, что указывало на анемию ввиду потери крови в желудочно-кишечном тракте. У 3-х больных собак наблюдался выраженный тромбоцитоз (589±113,43), у других больных животных (50%) уровень тромбоцитов в крови оставался в норме (178±24,99). </w:t>
      </w:r>
    </w:p>
    <w:p w:rsidR="00851C9C" w:rsidRPr="00377E06" w:rsidRDefault="00851C9C" w:rsidP="00851C9C">
      <w:pPr>
        <w:jc w:val="right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Таблица №</w:t>
      </w:r>
      <w:r w:rsidR="00661D04">
        <w:rPr>
          <w:rFonts w:ascii="Times New Roman" w:hAnsi="Times New Roman" w:cs="Times New Roman"/>
          <w:sz w:val="28"/>
          <w:szCs w:val="28"/>
        </w:rPr>
        <w:t xml:space="preserve"> 2</w:t>
      </w:r>
      <w:r w:rsidRPr="00377E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1C9C" w:rsidRPr="00377E06" w:rsidRDefault="00851C9C" w:rsidP="00851C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 xml:space="preserve">Результаты гемотологических и биохимических исследований собак </w:t>
      </w:r>
    </w:p>
    <w:p w:rsidR="00851C9C" w:rsidRPr="00377E06" w:rsidRDefault="00851C9C" w:rsidP="00851C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>до и после лечения</w:t>
      </w:r>
    </w:p>
    <w:tbl>
      <w:tblPr>
        <w:tblStyle w:val="a5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17"/>
        <w:gridCol w:w="3089"/>
        <w:gridCol w:w="1840"/>
        <w:gridCol w:w="1275"/>
        <w:gridCol w:w="1910"/>
        <w:gridCol w:w="1701"/>
      </w:tblGrid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Ед. измерения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Норма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до</w:t>
            </w:r>
          </w:p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лечения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sz w:val="28"/>
                <w:szCs w:val="28"/>
              </w:rPr>
              <w:t>после лечения</w:t>
            </w:r>
          </w:p>
        </w:tc>
      </w:tr>
      <w:tr w:rsidR="00851C9C" w:rsidRPr="00377E06" w:rsidTr="00D376B3">
        <w:tc>
          <w:tcPr>
            <w:tcW w:w="10632" w:type="dxa"/>
            <w:gridSpan w:val="6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Гематологические исследования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Уровень лейкоцитов в крови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WBC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9/л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3/мкл</m:t>
                    </m:r>
                  </m:sup>
                </m:sSup>
              </m:oMath>
            </m:oMathPara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6-17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22,55±4,49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12,16±1,31</w:t>
            </w:r>
          </w:p>
        </w:tc>
      </w:tr>
      <w:tr w:rsidR="00851C9C" w:rsidRPr="00377E06" w:rsidTr="00D376B3">
        <w:trPr>
          <w:trHeight w:val="768"/>
        </w:trPr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Уровень лимфоцитов в крови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LUM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9/л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3/мкл</m:t>
                    </m:r>
                  </m:sup>
                </m:sSup>
              </m:oMath>
            </m:oMathPara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0,8-5,1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0,58±0,19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3,26±0,45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Уровень средних клеток в крови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MID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9/л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3/мкл</m:t>
                    </m:r>
                  </m:sup>
                </m:sSup>
              </m:oMath>
            </m:oMathPara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0-1,8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2,43±0,35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1,2±0,09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Уровень гранулоцитов в крови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9/л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3/мкл</m:t>
                    </m:r>
                  </m:sup>
                </m:sSup>
              </m:oMath>
            </m:oMathPara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4-12,6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17,15±0,73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8,58±1,27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Процентное содержание лимфоцитов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LUM)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12-30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5,07±1,39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15,04±2,38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Процентное содержание средних клеток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MID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2-9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11,07±1,34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4,6±0,93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Процентное соотношение гранулоцитов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(GRA)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60-83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93,58±3,23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75,22±2,95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Уровень эритроцитов в крови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RBC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12/л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6/мкл</m:t>
                    </m:r>
                  </m:sup>
                </m:sSup>
              </m:oMath>
            </m:oMathPara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5,5-8,5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3,97±0,41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6,18±0,14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Уровень гемоглобина в крови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HGB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г/</w:t>
            </w:r>
            <w:proofErr w:type="gram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г/</w:t>
            </w:r>
            <w:proofErr w:type="spell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дл</w:t>
            </w:r>
            <w:proofErr w:type="spell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110-190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62,83±16,4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124,4±6,47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Гематокрит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(HCT)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 (</w:t>
            </w:r>
            <w:proofErr w:type="gram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/л)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39-56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29,27±3,67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43,14±2,05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Средний объем эритроцита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(MCV)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62-72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53,27±9,04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67,6±1,8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Среднее содержание гемоглобина в эритроците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MCH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пг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20-25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20,77±8,26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22,4±1,06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Средняя концентрация гемоглобина в эритроците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MCHC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г/</w:t>
            </w:r>
            <w:proofErr w:type="gram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г/</w:t>
            </w:r>
            <w:proofErr w:type="spell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дл</w:t>
            </w:r>
            <w:proofErr w:type="spell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300-380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177,3±42,7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330,8±10,74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Ширина распределения эритроцитов по объему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CKB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gram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среднеквадратическое</w:t>
            </w:r>
            <w:proofErr w:type="gram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RDW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35-56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40,65±0,98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44,38±2,79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Ширина распределения эритроцитов по объему (коэффициент вариации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RDW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CV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11-15,5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16,27±0,98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14,4±0,55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Уровень тромбоцитов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(PLT)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9/л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3/мкл</m:t>
                    </m:r>
                  </m:sup>
                </m:sSup>
              </m:oMath>
            </m:oMathPara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117-460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383,7±105,6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274,2±57,18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Средний объем тромбоцита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(MPV)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7-12,9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8,93±0,17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9,56±1,02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Ширина распределения эритроцита по объему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PDW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10-18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12,5±0,58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13,82±0,85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Тромбокрит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(PCT)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0,1-0,5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0,34±0,09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0,29±0,06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Коэффициент больших тромбоцитов (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77E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LCR</w:t>
            </w: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13-43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36,87±2,35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34,5±2,88</w:t>
            </w:r>
          </w:p>
        </w:tc>
      </w:tr>
      <w:tr w:rsidR="00851C9C" w:rsidRPr="00377E06" w:rsidTr="00D376B3">
        <w:tc>
          <w:tcPr>
            <w:tcW w:w="10632" w:type="dxa"/>
            <w:gridSpan w:val="6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Биохимические исследования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Общий белок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/л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59-73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33,83±5,28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64,4±1,54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Общий кальций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мг 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7,0-11,5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9,65±1,49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9,42±0,85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Неорганический фосфор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мг %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3,0-6,0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7,27±1,07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4,92±0,6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Глюкоза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ммоль/л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4,3-7,3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2,98±,39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4,64±0,13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Щелочной резерв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400-600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559,67±52,96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514±10,84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Креатинин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мкМоль/л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26-120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141,67±8,77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99,2±3,71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Мочевина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мМоль/л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3,5-9,2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10,58±0,36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7,36±0,79</w:t>
            </w:r>
          </w:p>
        </w:tc>
      </w:tr>
      <w:tr w:rsidR="00851C9C" w:rsidRPr="00377E06" w:rsidTr="00D376B3">
        <w:tc>
          <w:tcPr>
            <w:tcW w:w="817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89" w:type="dxa"/>
          </w:tcPr>
          <w:p w:rsidR="00851C9C" w:rsidRPr="00377E06" w:rsidRDefault="00851C9C" w:rsidP="00D376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Альбумин</w:t>
            </w:r>
          </w:p>
        </w:tc>
        <w:tc>
          <w:tcPr>
            <w:tcW w:w="184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/л</w:t>
            </w:r>
          </w:p>
        </w:tc>
        <w:tc>
          <w:tcPr>
            <w:tcW w:w="1275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22-39</w:t>
            </w:r>
          </w:p>
        </w:tc>
        <w:tc>
          <w:tcPr>
            <w:tcW w:w="1910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15,17±1,79</w:t>
            </w:r>
          </w:p>
        </w:tc>
        <w:tc>
          <w:tcPr>
            <w:tcW w:w="1701" w:type="dxa"/>
          </w:tcPr>
          <w:p w:rsidR="00851C9C" w:rsidRPr="00377E06" w:rsidRDefault="00851C9C" w:rsidP="00D376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E06">
              <w:rPr>
                <w:rFonts w:ascii="Times New Roman" w:hAnsi="Times New Roman" w:cs="Times New Roman"/>
                <w:sz w:val="28"/>
                <w:szCs w:val="28"/>
              </w:rPr>
              <w:t>29,6±1,94</w:t>
            </w:r>
          </w:p>
        </w:tc>
      </w:tr>
    </w:tbl>
    <w:p w:rsidR="00851C9C" w:rsidRPr="00377E06" w:rsidRDefault="00851C9C" w:rsidP="00851C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В результате биохимических исследований у больных собак до начала лечения установлена гипопротеинемия, гипоальбуминемия, гипогликемия, </w:t>
      </w:r>
      <w:r w:rsidRPr="00377E06">
        <w:rPr>
          <w:rFonts w:ascii="Times New Roman" w:hAnsi="Times New Roman" w:cs="Times New Roman"/>
          <w:sz w:val="28"/>
          <w:szCs w:val="28"/>
        </w:rPr>
        <w:lastRenderedPageBreak/>
        <w:t xml:space="preserve">повышенное содержание креатинина и мочевины. У одной собаки наблюдалось повышенное содержание резервной щелочности. На фоне повышенного уровня неорганического фосфора в крови у 3-х собак 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гиперкальциемия и у 1-ой собаки гипокальциемия. 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Следует отметить, что в процессе лечения по предлагаемой нами схеме, улучшается общее клиническое состояние больных собак с приведением в норму гематологических и биохимических показателей крови. Устранение симптомокомплекса наступает на 5-6 день: снижается температура тела, исчезают рвота и диарея с кровянистыми выделениями. В эти дни животным показана щадящая диета: бульоны, жидкие каши, отвары риса. Для восстановления нормальной микрофлоры желудочно-кишечного тракта в этот период необходимо внутрь назначать Ветом 1.1. – 2-3 раза в день по 50 г.</w:t>
      </w:r>
    </w:p>
    <w:p w:rsidR="00851C9C" w:rsidRPr="00377E06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Считаем, что на положительную динамику выздоровления влияет применение иммуномодулятора «Азоксивет» и комплексного препарата «Гемобаланс». Действующим веществом «Азоксивета» является азоксимера бромид, обладающий широким спектром биологической активности в отношении повышения резистентности не только к вирусным, но и бактериальным инфекциям. 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>Данный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иммуномодулятор способствует восстановлению иммунных реакций, стимулируя пролиферацию лимфоцитов и фагоцитарную активность макрофагов, повышает устойчивость мембран эритроцитов. В состав препарата «Гемоболанс» входит комплекс витаминов, микроэлементов и аминокислот, благодаря которым оптимизируются обменные процессы в организме, нормализуется формула крови, стимулируется гемопоэз, повышается бактерицидная и липотропная активность крови. После лечения с включением данных ветеринарных препаратов у собак, больных ассоциированными вирусными гастроэнтеритами, нормализовались гематологические и биохимические показатели крови.</w:t>
      </w:r>
    </w:p>
    <w:p w:rsidR="00851C9C" w:rsidRDefault="00851C9C" w:rsidP="00851C9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t xml:space="preserve">Заключение. </w:t>
      </w:r>
      <w:r w:rsidRPr="00377E06">
        <w:rPr>
          <w:rFonts w:ascii="Times New Roman" w:hAnsi="Times New Roman" w:cs="Times New Roman"/>
          <w:sz w:val="28"/>
          <w:szCs w:val="28"/>
        </w:rPr>
        <w:t xml:space="preserve">В результате лечения по предложенной схеме выздоровление больных вирусными ассоциированными гастроэнтеритами собак наступает в среднем на 12-ый день. Показатель выздоровления составляет 83,3 %, а летальности – 16,6%. У больных собак после лечения восстанавливается иммунитет и нормализуются обменные процессы, что подтверждается гематологическими и биохимическими анализами крови. </w:t>
      </w:r>
    </w:p>
    <w:p w:rsidR="00377E06" w:rsidRPr="00377E06" w:rsidRDefault="00377E06" w:rsidP="00661D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7E06" w:rsidRDefault="00377E06" w:rsidP="00377E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Течение ассоциированных респираторных вирусных болезней собак </w:t>
      </w:r>
    </w:p>
    <w:p w:rsidR="00377E06" w:rsidRPr="00377E06" w:rsidRDefault="00377E06" w:rsidP="00377E06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 стало изучение респираторных инфекций собак, осложненных вирусными, бактериальными и гельминтозными ассоциациями на территории Прибайкалья.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</w:t>
      </w: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входило: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сформировать нозологический профиль вирусных инфекций собак и определить долю ассоциированных болезней;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установить динамику и уровень заболеваемости ассоциированных вирусных инфекций собак;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выявить породную, возрастную и сезонную предрасположенность собак к ассоциированным вирусным болезням;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установить тяжесть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вирусных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трахеобронхопневмоний, осложненных патогенной микрофлорой и гельминтами;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индикация и идентификация вирусов, бактерий и гельминтов, входящих в ассоциации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инфекционных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трахеобронхопневмониях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77E06" w:rsidRDefault="00377E06" w:rsidP="00377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 и методы исследования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Ретроспективный анализ</w:t>
      </w:r>
      <w:r>
        <w:rPr>
          <w:rFonts w:ascii="Times New Roman" w:hAnsi="Times New Roman" w:cs="Times New Roman"/>
          <w:sz w:val="28"/>
          <w:szCs w:val="28"/>
        </w:rPr>
        <w:t xml:space="preserve"> документов ветеринарного учёта, отчётности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оперативных-статистических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данных, полученных с помощью программы для ветеринарных клиник «БИТ: Айболит» на базе государственных ветеринарных клиник г. Иркутск и г. Черемхово;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Экспериментальные исследования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клинически больных вирусными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трахеобронхопневмониями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собак на базе ветеринарной клиники ОГБУ «Черемховская станция по борьбе с болезнями животных»;</w:t>
      </w:r>
      <w:proofErr w:type="gramEnd"/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Лабораторные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смывов с задней стенки глотки с тонзиллитной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околофаренгиальной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областей, полученных от клинически больных собак, на базе ФГБУ «Иркутская межобластная ветеринарная лаборатория»;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Биометрический анализ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общепринятых методов описательной статистики с использованием программы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112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Ex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el</w:t>
      </w:r>
      <w:r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Схема лабораторной диагностики включала следующие исследования, осуществляемые параллельно в разных отделах лаборатории:</w:t>
      </w:r>
    </w:p>
    <w:p w:rsidR="00377E06" w:rsidRDefault="00377E06" w:rsidP="00377E06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Вирусологические: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метод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иммунохроматографического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анализа (ИХА)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 иммуноферментного анализа (ИФА)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метод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полимеразно</w:t>
      </w:r>
      <w:proofErr w:type="spellEnd"/>
      <w:r>
        <w:rPr>
          <w:rFonts w:ascii="Times New Roman" w:hAnsi="Times New Roman" w:cs="Times New Roman"/>
          <w:sz w:val="28"/>
          <w:szCs w:val="28"/>
        </w:rPr>
        <w:t>-цепной реакции (ПЦР)</w:t>
      </w:r>
    </w:p>
    <w:p w:rsidR="00377E06" w:rsidRDefault="00377E06" w:rsidP="00377E0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Бактериологические: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посев на плотные дифференциальные диагностические среды (МПА, </w:t>
      </w:r>
      <w:r>
        <w:rPr>
          <w:rFonts w:ascii="Times New Roman" w:hAnsi="Times New Roman" w:cs="Times New Roman"/>
          <w:sz w:val="28"/>
          <w:szCs w:val="28"/>
          <w:lang w:val="en-US"/>
        </w:rPr>
        <w:t>OLOA</w:t>
      </w:r>
      <w:r>
        <w:rPr>
          <w:rFonts w:ascii="Times New Roman" w:hAnsi="Times New Roman" w:cs="Times New Roman"/>
          <w:sz w:val="28"/>
          <w:szCs w:val="28"/>
        </w:rPr>
        <w:t xml:space="preserve">, Эндо, Левина,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Плоскирева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Б. Паркера, Вильсона-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XLD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77E06" w:rsidRDefault="00377E06" w:rsidP="00377E06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видовая идентификация микроорганизмов определение их чувствительности к антибиотикам при помощи Масс-спектрометра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Microflex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LT/SH (</w:t>
      </w:r>
      <w:proofErr w:type="spellStart"/>
      <w:r>
        <w:rPr>
          <w:rFonts w:ascii="Times New Roman" w:hAnsi="Times New Roman" w:cs="Times New Roman"/>
          <w:sz w:val="28"/>
          <w:szCs w:val="28"/>
        </w:rPr>
        <w:t>Bruker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377E06" w:rsidRDefault="00377E06" w:rsidP="00377E06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Копрологические: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lastRenderedPageBreak/>
        <w:t xml:space="preserve">- метод 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>Котельникова-Хренова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E06" w:rsidRDefault="00377E06" w:rsidP="00377E0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77E06" w:rsidRDefault="00377E06" w:rsidP="00377E0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Территория Прибайкалья, как часто называют Иркутскую область, делится на 33 муниципальных района и 10 городов областного подчинения, где административным центром является г. Иркутск. По данным Службы ветеринарии области на территории Прибайкалья по состоянию на 01.01.2018 в лечебных учреждениях области зарегистрировано 104 503 головы собак, имеющих владельцев (на 23 человека приходится 1 собака), а численность безнадзорных составляет 9558 голов.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рамках ретроспективного исследования на основании отчётов 1-Вет А с 2011 по 2014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 4-Вет за 10 лет установлены уровни вакцинации против вирусных инфекций и заболеваемости этими инфекциями у собак. При сравнительной оценке видно, что, не смотря на повышение уровня вакцинации, уровень заболеваемости не снижается. 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формировании нозологического профиля инфекционной патологии животных на территории Прибайкалья участвуют многие вирусные болезни собак. Так по данным статистических отчетов Иркутской межобластной ветеринарной лаборатории за 2004-2014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установлено, что аденовирусная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парвовирусная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встречались наиболее шире, чем чума плотоядных. С 2011 г. диагностируется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инфекция.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Основываясь на учётных данных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амбулаторных журналов ветеринарной клиники </w:t>
      </w:r>
      <w:r>
        <w:rPr>
          <w:rFonts w:ascii="Times New Roman" w:hAnsi="Times New Roman" w:cs="Times New Roman"/>
          <w:sz w:val="28"/>
          <w:szCs w:val="28"/>
        </w:rPr>
        <w:t xml:space="preserve">ОГБУ «Черемховская станция по борьбе с болезнями животных» с 2014 по 2016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>. был сформирован нозологический профиль вирусных инфекций собак на территории г. Черемхово. Установлено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9 нозологически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единиц, из которых приходилось 5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моноинфекции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 удельным весом 92,8 % и 4 - 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ассоциированные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(7,2%). Наибольший удельный вес в общем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нозопрофиле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принадлежит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парвовирусному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энтериту, который проявляется как в виде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моноинфекции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(79,4 %), так и в ассоциациях с чумой собак (2,2 %)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инфекцией (4,5 %). Случаи чумы собак, как отдельной нозологической единицы, проявляются реже и составляют 7,3 % удельного веса. Течение этой болезни в наибольшей степени наблюдается, как указано выше, в сочетании с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парвовирусным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энтеритом (2,2%), и в наименьшей - с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аденовирозом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(0,4 %)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парагриппом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(0,2%).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Изучение нозологического профиля вирусных болезней собак в г. Иркутске проводили на основе оперативно-статистических данных, полученных с помощью электронной программы для ветеринарных клиник «БИТ: Айболит».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Как видим, нозологический профиль вирусной патологии собак гораздо шире (по сравнению с предыдущим); он сформирован по 21 нозологической единице, из которых приходилось семь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удельным весом 80,8 %, девять - на ассоциированные (18,46 %), три – на ассоциированные вирусные и бактериальные болезни (0,39%) и две – на ассоциированные вирусные и грибковые болезни (0,39%).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Наибольший удельный вес в общем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нозопрофиле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принадлежит инфекционному гепатиту,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который проявляется как в виде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моноинфекции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(27,95 %), так и в ассоциациях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парвовирозом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(1,54 %), чумой собак (0,38 %), а также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парагриппом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аденовирозом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(0,26 %).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обоих случаях на разных территориях Иркутской области из установленных смешанных вирусных болезней собак преобладают кишечные ассоциированные инфекции в форме гастроэнтеритов: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парвовироз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(ПВЭ+КВЭ). Вспышки этого ассоциированного заболевания имеют выраженную сезонность: весной в марте, летом  в июне-июле, а наибольший пик заболеваемости приходится в осенний период на сентябрь. При изучении породной и возрастной предрасположенности выявлено, что наиболее часто встречались все установленные вирусные ассоциации у беспородных собак в возрасте от 3 мес. до 15 лет. В наименьшей степени вирусные сочетанные инфекции поражали болонок от 1 до 5 лет, русского спаниеля от 1 мес. до 5 лет и сибирского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4 мес. до 3 лет.</w:t>
      </w: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Изучив эпизоотологические особенности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гастроэнтеральных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ассоциированных вирусных болезней, в марте-апреле 2017 г. в период вспышки инфекционного гастроэнтерита нами произведено наблюдение группы клинически больных собак, содержащимися в питомнике К-9 г. Иркутск. В результате исследования в группе больных собак выделены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этиологически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значимые агенты вирусных гастроэнтеритов. Лишь в 5 % случаев была выделена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моноинфекция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парвовироза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Остальная часть инфекционных гастроэнтеритов (95 %) представлена в различных ассоциациях, из которых на вирусно-вирусные ассоциации приходилось 5,3 %, вирусно-бактериальные – 63,1%, вирусно-гельминтозные – 5,3%, вирусно-бактериально-гельминтозные - 26,3%. </w:t>
      </w:r>
    </w:p>
    <w:p w:rsidR="00377E06" w:rsidRPr="00992950" w:rsidRDefault="00377E06" w:rsidP="00377E0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По частоте встречаемости из числа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сопутствующих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вирусам парагриппа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>аденов</w:t>
      </w:r>
      <w:r w:rsidRPr="00377E06">
        <w:rPr>
          <w:rFonts w:ascii="Times New Roman" w:hAnsi="Times New Roman" w:cs="Times New Roman"/>
          <w:color w:val="000000"/>
          <w:sz w:val="28"/>
          <w:szCs w:val="28"/>
        </w:rPr>
        <w:t>ирусам бактериальных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патогенов были выделены: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Streptococcus</w:t>
      </w:r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pneumonia</w:t>
      </w:r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Peptostreptococcus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anaerobius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Enterococcus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faecalis</w:t>
      </w:r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Staphylococcus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epidermidis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>, En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terobacter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cloacae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Citrobacter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diversus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 и патогенные культуры Staphylococcus aureus и Bordetella bronchiseptica</w:t>
      </w:r>
      <w:r w:rsidRPr="00992950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7E06" w:rsidRDefault="00377E06" w:rsidP="00377E0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Выводы и предложения: </w:t>
      </w:r>
    </w:p>
    <w:p w:rsidR="00377E06" w:rsidRPr="009179C3" w:rsidRDefault="00377E06" w:rsidP="00377E0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79C3">
        <w:rPr>
          <w:rFonts w:ascii="Times New Roman" w:hAnsi="Times New Roman"/>
          <w:sz w:val="28"/>
          <w:szCs w:val="28"/>
        </w:rPr>
        <w:t xml:space="preserve">Важное эпизоотологическое значение на территории Прибайкалья приобретают новые случаи смешанных инфекций, при этом роль патогенов не велика и представляет пять вирусов: </w:t>
      </w:r>
      <w:proofErr w:type="spellStart"/>
      <w:r w:rsidRPr="009179C3">
        <w:rPr>
          <w:rFonts w:ascii="Times New Roman" w:hAnsi="Times New Roman"/>
          <w:sz w:val="28"/>
          <w:szCs w:val="28"/>
        </w:rPr>
        <w:t>морбиливирус</w:t>
      </w:r>
      <w:proofErr w:type="spellEnd"/>
      <w:r w:rsidRPr="009179C3">
        <w:rPr>
          <w:rFonts w:ascii="Times New Roman" w:hAnsi="Times New Roman"/>
          <w:sz w:val="28"/>
          <w:szCs w:val="28"/>
        </w:rPr>
        <w:t xml:space="preserve"> чумы собак, вирус парагриппа, </w:t>
      </w:r>
      <w:proofErr w:type="spellStart"/>
      <w:r w:rsidRPr="009179C3">
        <w:rPr>
          <w:rFonts w:ascii="Times New Roman" w:hAnsi="Times New Roman"/>
          <w:sz w:val="28"/>
          <w:szCs w:val="28"/>
        </w:rPr>
        <w:t>парв</w:t>
      </w:r>
      <w:proofErr w:type="gramStart"/>
      <w:r w:rsidRPr="009179C3">
        <w:rPr>
          <w:rFonts w:ascii="Times New Roman" w:hAnsi="Times New Roman"/>
          <w:sz w:val="28"/>
          <w:szCs w:val="28"/>
        </w:rPr>
        <w:t>о</w:t>
      </w:r>
      <w:proofErr w:type="spellEnd"/>
      <w:r w:rsidRPr="009179C3">
        <w:rPr>
          <w:rFonts w:ascii="Times New Roman" w:hAnsi="Times New Roman"/>
          <w:sz w:val="28"/>
          <w:szCs w:val="28"/>
        </w:rPr>
        <w:t>-</w:t>
      </w:r>
      <w:proofErr w:type="gramEnd"/>
      <w:r w:rsidRPr="009179C3">
        <w:rPr>
          <w:rFonts w:ascii="Times New Roman" w:hAnsi="Times New Roman"/>
          <w:sz w:val="28"/>
          <w:szCs w:val="28"/>
        </w:rPr>
        <w:t xml:space="preserve">, корона- и аденовирус 2-го типа. Ассоциации респираторных вирусных инфекций стоят на втором месте по распространенности после ассоциированных вирусных гастроэнтеритов. </w:t>
      </w:r>
    </w:p>
    <w:p w:rsidR="00377E06" w:rsidRPr="001660DC" w:rsidRDefault="00377E06" w:rsidP="00377E06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0DC">
        <w:rPr>
          <w:rFonts w:ascii="Times New Roman" w:hAnsi="Times New Roman" w:cs="Times New Roman"/>
          <w:sz w:val="28"/>
          <w:szCs w:val="28"/>
        </w:rPr>
        <w:t xml:space="preserve">В большей мере ассоциированным вирусным инфекциям подвержены беспородные собаки независимо от возраста. </w:t>
      </w:r>
    </w:p>
    <w:p w:rsidR="00377E06" w:rsidRPr="001660DC" w:rsidRDefault="00377E06" w:rsidP="00377E06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0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Респираторные а</w:t>
      </w:r>
      <w:r w:rsidRPr="001660DC">
        <w:rPr>
          <w:rFonts w:ascii="Times New Roman" w:hAnsi="Times New Roman" w:cs="Times New Roman"/>
          <w:sz w:val="28"/>
          <w:szCs w:val="28"/>
        </w:rPr>
        <w:t>ссоциированные вирусные болезни собак на территории Иркутской области имеют выраженную сезонность. Волна заболеваемости достига</w:t>
      </w:r>
      <w:r>
        <w:rPr>
          <w:rFonts w:ascii="Times New Roman" w:hAnsi="Times New Roman" w:cs="Times New Roman"/>
          <w:sz w:val="28"/>
          <w:szCs w:val="28"/>
        </w:rPr>
        <w:t xml:space="preserve">ет своего пика в </w:t>
      </w:r>
      <w:r w:rsidRPr="001660DC">
        <w:rPr>
          <w:rFonts w:ascii="Times New Roman" w:hAnsi="Times New Roman" w:cs="Times New Roman"/>
          <w:sz w:val="28"/>
          <w:szCs w:val="28"/>
        </w:rPr>
        <w:t xml:space="preserve">октябре-ноябре. </w:t>
      </w:r>
    </w:p>
    <w:p w:rsidR="00377E06" w:rsidRPr="009179C3" w:rsidRDefault="00377E06" w:rsidP="00377E0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территории Прибайкалья вирусные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трахеобронхопневмонии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зачастую проявляется в виде смешанной инфекции, когда в инфекционный процесс кроме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179C3">
        <w:rPr>
          <w:rFonts w:ascii="Times New Roman" w:hAnsi="Times New Roman" w:cs="Times New Roman"/>
          <w:sz w:val="28"/>
          <w:szCs w:val="28"/>
        </w:rPr>
        <w:t>вирусов парагриппа</w:t>
      </w:r>
      <w:r>
        <w:rPr>
          <w:rFonts w:ascii="Times New Roman" w:hAnsi="Times New Roman" w:cs="Times New Roman"/>
          <w:sz w:val="28"/>
          <w:szCs w:val="28"/>
        </w:rPr>
        <w:t xml:space="preserve"> вовлекаются патогенные </w:t>
      </w:r>
      <w:r w:rsidRPr="004B029D">
        <w:rPr>
          <w:rFonts w:ascii="Times New Roman" w:hAnsi="Times New Roman" w:cs="Times New Roman"/>
          <w:color w:val="000000"/>
          <w:sz w:val="28"/>
          <w:szCs w:val="28"/>
        </w:rPr>
        <w:t>Staphylococcus aureus и Bordetella bronchiseptica</w:t>
      </w:r>
      <w:r w:rsidRPr="009179C3">
        <w:rPr>
          <w:rFonts w:ascii="Times New Roman" w:hAnsi="Times New Roman" w:cs="Times New Roman"/>
          <w:sz w:val="28"/>
          <w:szCs w:val="28"/>
        </w:rPr>
        <w:t>, условно-патогенные бактерии</w:t>
      </w:r>
      <w:r>
        <w:rPr>
          <w:rFonts w:ascii="Times New Roman" w:hAnsi="Times New Roman" w:cs="Times New Roman"/>
          <w:sz w:val="28"/>
          <w:szCs w:val="28"/>
        </w:rPr>
        <w:t xml:space="preserve"> респираторного тракта: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Streptococcus</w:t>
      </w:r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pneumonia</w:t>
      </w:r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Peptostreptococcus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anaerobius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Enterococcus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faecalis</w:t>
      </w:r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Staphylococcus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epidermidis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>, En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terobacter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cloacae</w:t>
      </w:r>
      <w:proofErr w:type="spellEnd"/>
      <w:r w:rsidRPr="004B029D">
        <w:rPr>
          <w:rFonts w:ascii="Times New Roman" w:hAnsi="Times New Roman" w:cs="Times New Roman"/>
          <w:color w:val="000000"/>
          <w:sz w:val="28"/>
          <w:szCs w:val="28"/>
        </w:rPr>
        <w:t xml:space="preserve">, Citrobacter </w:t>
      </w:r>
      <w:proofErr w:type="spellStart"/>
      <w:r w:rsidRPr="004B029D">
        <w:rPr>
          <w:rFonts w:ascii="Times New Roman" w:hAnsi="Times New Roman" w:cs="Times New Roman"/>
          <w:color w:val="000000"/>
          <w:sz w:val="28"/>
          <w:szCs w:val="28"/>
        </w:rPr>
        <w:t>diversus</w:t>
      </w:r>
      <w:proofErr w:type="spellEnd"/>
      <w:r w:rsidRPr="009179C3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 xml:space="preserve">иногда и возбудители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дифилоботриоза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токсокароза</w:t>
      </w:r>
      <w:proofErr w:type="spellEnd"/>
      <w:r w:rsidRPr="009179C3">
        <w:rPr>
          <w:rFonts w:ascii="Times New Roman" w:hAnsi="Times New Roman" w:cs="Times New Roman"/>
          <w:sz w:val="28"/>
          <w:szCs w:val="28"/>
        </w:rPr>
        <w:t>.</w:t>
      </w:r>
    </w:p>
    <w:p w:rsidR="00377E06" w:rsidRDefault="00377E06" w:rsidP="00377E06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выборе терапевтической тактики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инфекционных трахеобронхопневмоний у собак необходимо учитывать данный состав патогенов в этиологической структуре заболевания.  При этом целесообразно применение комплексных биологических и химиотерапевтических препаратов. </w:t>
      </w:r>
    </w:p>
    <w:p w:rsidR="00851C9C" w:rsidRPr="00377E06" w:rsidRDefault="00851C9C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51C9C" w:rsidRDefault="00851C9C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61D04" w:rsidRPr="00377E06" w:rsidRDefault="00661D04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344E1" w:rsidRPr="00377E06" w:rsidRDefault="004344E1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77E06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851C9C" w:rsidRPr="00377E06" w:rsidRDefault="00851C9C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51C9C" w:rsidRPr="00377E06" w:rsidRDefault="00851C9C" w:rsidP="00851C9C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Михайлова-Кузьмина А.В., Антонов А.А. Особенности ассоциированного течения корон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и парвовирусного энтеритов у щенков кинологического центра пограничной службы Республики Беларусь // Учёные записки УЩ ВГАВМ, т. 47, вып. 1. – 2011. – С. 97-99.</w:t>
      </w:r>
    </w:p>
    <w:p w:rsidR="00851C9C" w:rsidRPr="00377E06" w:rsidRDefault="00851C9C" w:rsidP="00851C9C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Марченко Э.В. Лечение собак, больных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парвовирусным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энтеритом, осложненным ассоциациями условно-патогенных бактерий при тяжелой форме течения // Ветеринарная патология. – № 2 (52). – 2015. – С. 19-23.  </w:t>
      </w:r>
    </w:p>
    <w:p w:rsidR="00377E06" w:rsidRP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Орлова С.Т.,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Сидорчук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А.А. Новый взгляд на поствакцинальный иммунитет у собак и кошек. Часть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77E06">
        <w:rPr>
          <w:rFonts w:ascii="Times New Roman" w:hAnsi="Times New Roman" w:cs="Times New Roman"/>
          <w:sz w:val="28"/>
          <w:szCs w:val="28"/>
        </w:rPr>
        <w:t xml:space="preserve">. Теоретические и экспериментальные основы оценки длительности иммунитета // Российский ветеринарный журнал. Мелкие домашние и дикие животные. – 2015. - № 6. – С. 33-39. </w:t>
      </w:r>
    </w:p>
    <w:p w:rsidR="00377E06" w:rsidRP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Лизвинский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Ю., Гусева Н. Сочетанная корон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парвовирусная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инфекция у щенков – потенциальная опасность для питомников // Российский ветеринарный журнал. Мелкие домашние и дикие животные. - 2015. - № 6. - С. 49-51.</w:t>
      </w:r>
    </w:p>
    <w:p w:rsidR="00377E06" w:rsidRP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Марченко Э.В. Парвовирусный энтерит собак, осложненный ассоциациями условно-патогенных бактерий (этиология, эпизоотология, патогенез и лечение):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афтореф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>. …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канд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>ет.наук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Н.Новгород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>, 2017.</w:t>
      </w:r>
    </w:p>
    <w:p w:rsidR="00377E06" w:rsidRP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Данилова Ж.М. Эпизоотологические показатели ассоциативных болезней собак в Улан-Удэ // Инновация и продовольственная безопасность. – 2014. - № 4(6) . – С. 49-54. </w:t>
      </w:r>
    </w:p>
    <w:p w:rsidR="00377E06" w:rsidRP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>Бажибина Е.Б. Инцидентность и особенности проявления вирусных заболеваний собак в г. Москве // Российский ветеринарный журнал. Мелкие домашние и дикие животные. - 2012. - № 6. - С. 6-7.</w:t>
      </w:r>
    </w:p>
    <w:p w:rsidR="00377E06" w:rsidRP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Колесникова Н.В.,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Кощаев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А.Г., Гурьянова С.В. Вторичные иммунодефициты мелких домашних животных и их коррекция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мурамилдипептидами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// Научный журнал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КубГАУ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. – 2017. - № 131 (07). – С. 1-13. </w:t>
      </w:r>
    </w:p>
    <w:p w:rsid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7E06">
        <w:rPr>
          <w:rFonts w:ascii="Times New Roman" w:hAnsi="Times New Roman" w:cs="Times New Roman"/>
          <w:sz w:val="28"/>
          <w:szCs w:val="28"/>
        </w:rPr>
        <w:t xml:space="preserve">Алексеева И.Г, Колосова П.В.,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Баах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А.В. Сравнительный анализ схем лечения собак с диагнозом чума плотоядных с применением препаратов иммуностимулирующего и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биотонизирующего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воздействия на организм // Современные инновационные подходы к решению актуальных ветеринарных проблем в животноводстве: материалы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lastRenderedPageBreak/>
        <w:t>межународ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. науч.-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практ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>. конф. (Омск, 23 марта 2073 г.). Омск</w:t>
      </w:r>
      <w:proofErr w:type="gramStart"/>
      <w:r w:rsidRPr="00377E0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77E06">
        <w:rPr>
          <w:rFonts w:ascii="Times New Roman" w:hAnsi="Times New Roman" w:cs="Times New Roman"/>
          <w:sz w:val="28"/>
          <w:szCs w:val="28"/>
        </w:rPr>
        <w:t xml:space="preserve"> изд-во ФГБОУ ВО Омский ГАУ, 2017. – С. 20-29. </w:t>
      </w:r>
    </w:p>
    <w:p w:rsid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Мандриков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С.А., Беляев В.И. Эффективность тканевого препарата на основе фракции, полученной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криофракционированием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из селезёнки, при заболеваниях органов дыхания у собак // Российский ветеринарный журнал. Мелкие домашние и дикие животные. - 2015. -  № 4. С. 40-41.</w:t>
      </w:r>
    </w:p>
    <w:p w:rsidR="00377E06" w:rsidRPr="00377E06" w:rsidRDefault="00377E06" w:rsidP="00377E06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7E06">
        <w:rPr>
          <w:rFonts w:ascii="Times New Roman" w:hAnsi="Times New Roman" w:cs="Times New Roman"/>
          <w:sz w:val="28"/>
          <w:szCs w:val="28"/>
        </w:rPr>
        <w:t>Семанин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А.Г., Скорик А.С., Суркова Е.И., Васильева Ю.Б., Марьина О.Н. Анализ распространения бордетеллеза домашних животных // Сборник СТУДЕНЧЕСКИЙ НАУЧНЫЙ ФОРУМ-2014 </w:t>
      </w:r>
      <w:r w:rsidRPr="00377E0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377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7E06">
        <w:rPr>
          <w:rFonts w:ascii="Times New Roman" w:hAnsi="Times New Roman" w:cs="Times New Roman"/>
          <w:sz w:val="28"/>
          <w:szCs w:val="28"/>
        </w:rPr>
        <w:t>Меджународная</w:t>
      </w:r>
      <w:proofErr w:type="spellEnd"/>
      <w:r w:rsidRPr="00377E06">
        <w:rPr>
          <w:rFonts w:ascii="Times New Roman" w:hAnsi="Times New Roman" w:cs="Times New Roman"/>
          <w:sz w:val="28"/>
          <w:szCs w:val="28"/>
        </w:rPr>
        <w:t xml:space="preserve"> студенческая электронная научная конференция: Электронное издание. - 2014.</w:t>
      </w:r>
    </w:p>
    <w:p w:rsidR="00377E06" w:rsidRPr="00377E06" w:rsidRDefault="00377E06" w:rsidP="00377E0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1C9C" w:rsidRPr="00377E06" w:rsidRDefault="00851C9C" w:rsidP="004344E1">
      <w:pPr>
        <w:pStyle w:val="a4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sectPr w:rsidR="00851C9C" w:rsidRPr="00377E06" w:rsidSect="00661D0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856" w:rsidRDefault="00686856" w:rsidP="00661D04">
      <w:pPr>
        <w:spacing w:after="0" w:line="240" w:lineRule="auto"/>
      </w:pPr>
      <w:r>
        <w:separator/>
      </w:r>
    </w:p>
  </w:endnote>
  <w:endnote w:type="continuationSeparator" w:id="0">
    <w:p w:rsidR="00686856" w:rsidRDefault="00686856" w:rsidP="0066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856" w:rsidRDefault="00686856" w:rsidP="00661D04">
      <w:pPr>
        <w:spacing w:after="0" w:line="240" w:lineRule="auto"/>
      </w:pPr>
      <w:r>
        <w:separator/>
      </w:r>
    </w:p>
  </w:footnote>
  <w:footnote w:type="continuationSeparator" w:id="0">
    <w:p w:rsidR="00686856" w:rsidRDefault="00686856" w:rsidP="00661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9106337"/>
      <w:docPartObj>
        <w:docPartGallery w:val="Page Numbers (Top of Page)"/>
        <w:docPartUnique/>
      </w:docPartObj>
    </w:sdtPr>
    <w:sdtContent>
      <w:p w:rsidR="00661D04" w:rsidRDefault="00661D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61D04" w:rsidRDefault="00661D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45F"/>
    <w:multiLevelType w:val="hybridMultilevel"/>
    <w:tmpl w:val="ABFC7A22"/>
    <w:lvl w:ilvl="0" w:tplc="8828D1DE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A32302"/>
    <w:multiLevelType w:val="hybridMultilevel"/>
    <w:tmpl w:val="C002A464"/>
    <w:lvl w:ilvl="0" w:tplc="5A7A8C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F8D3417"/>
    <w:multiLevelType w:val="hybridMultilevel"/>
    <w:tmpl w:val="179E49D6"/>
    <w:lvl w:ilvl="0" w:tplc="E81C0C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4A81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6A407D8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D26FBE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4EC67E36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5A5CD0C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F82094F2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7CC06BDE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95AC296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240A470E"/>
    <w:multiLevelType w:val="hybridMultilevel"/>
    <w:tmpl w:val="62001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267F1F"/>
    <w:multiLevelType w:val="hybridMultilevel"/>
    <w:tmpl w:val="5E348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B634A"/>
    <w:multiLevelType w:val="hybridMultilevel"/>
    <w:tmpl w:val="DCCAC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97687A"/>
    <w:multiLevelType w:val="hybridMultilevel"/>
    <w:tmpl w:val="F5C40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F169F"/>
    <w:multiLevelType w:val="hybridMultilevel"/>
    <w:tmpl w:val="4D92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330240"/>
    <w:multiLevelType w:val="hybridMultilevel"/>
    <w:tmpl w:val="104EE4B6"/>
    <w:lvl w:ilvl="0" w:tplc="DE283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6D9A04B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F2E4EE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49662A9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4BF2012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394EFF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9D0E50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B8A05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B2AE329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9">
    <w:nsid w:val="45E7742E"/>
    <w:multiLevelType w:val="hybridMultilevel"/>
    <w:tmpl w:val="6BB2E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2F2877"/>
    <w:multiLevelType w:val="hybridMultilevel"/>
    <w:tmpl w:val="6EF64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906EE2"/>
    <w:multiLevelType w:val="hybridMultilevel"/>
    <w:tmpl w:val="362ED968"/>
    <w:lvl w:ilvl="0" w:tplc="EABCC2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F403FE"/>
    <w:multiLevelType w:val="hybridMultilevel"/>
    <w:tmpl w:val="D29AF97C"/>
    <w:lvl w:ilvl="0" w:tplc="9E188F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7B69F9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BE7C211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BEE6E9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A82005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E682CD0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00A4DDA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C7FEEFE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054EF5B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3">
    <w:nsid w:val="561D4FCE"/>
    <w:multiLevelType w:val="hybridMultilevel"/>
    <w:tmpl w:val="46907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EB798A"/>
    <w:multiLevelType w:val="hybridMultilevel"/>
    <w:tmpl w:val="7B726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E10BD7"/>
    <w:multiLevelType w:val="hybridMultilevel"/>
    <w:tmpl w:val="F59AE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E91A87"/>
    <w:multiLevelType w:val="hybridMultilevel"/>
    <w:tmpl w:val="062E5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441D9E"/>
    <w:multiLevelType w:val="hybridMultilevel"/>
    <w:tmpl w:val="6DF82106"/>
    <w:lvl w:ilvl="0" w:tplc="B5BC7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EBA1A72"/>
    <w:multiLevelType w:val="hybridMultilevel"/>
    <w:tmpl w:val="E9A2A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641195"/>
    <w:multiLevelType w:val="hybridMultilevel"/>
    <w:tmpl w:val="7A58FE38"/>
    <w:lvl w:ilvl="0" w:tplc="428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9EAA8D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E165A9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258F05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1B6EAE9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AE18523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1C2AC3F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55E159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5FC481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0">
    <w:nsid w:val="74715F0A"/>
    <w:multiLevelType w:val="hybridMultilevel"/>
    <w:tmpl w:val="B9324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15"/>
  </w:num>
  <w:num w:numId="5">
    <w:abstractNumId w:val="16"/>
  </w:num>
  <w:num w:numId="6">
    <w:abstractNumId w:val="13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7"/>
  </w:num>
  <w:num w:numId="13">
    <w:abstractNumId w:val="14"/>
  </w:num>
  <w:num w:numId="14">
    <w:abstractNumId w:val="1"/>
  </w:num>
  <w:num w:numId="15">
    <w:abstractNumId w:val="11"/>
  </w:num>
  <w:num w:numId="16">
    <w:abstractNumId w:val="3"/>
  </w:num>
  <w:num w:numId="17">
    <w:abstractNumId w:val="8"/>
  </w:num>
  <w:num w:numId="18">
    <w:abstractNumId w:val="12"/>
  </w:num>
  <w:num w:numId="19">
    <w:abstractNumId w:val="2"/>
  </w:num>
  <w:num w:numId="20">
    <w:abstractNumId w:val="19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6C"/>
    <w:rsid w:val="00236BB1"/>
    <w:rsid w:val="003466C0"/>
    <w:rsid w:val="00377E06"/>
    <w:rsid w:val="004344E1"/>
    <w:rsid w:val="00482A6C"/>
    <w:rsid w:val="004E5BF9"/>
    <w:rsid w:val="005F455F"/>
    <w:rsid w:val="00661D04"/>
    <w:rsid w:val="00686856"/>
    <w:rsid w:val="0083238B"/>
    <w:rsid w:val="00851C9C"/>
    <w:rsid w:val="00A9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4E1"/>
  </w:style>
  <w:style w:type="paragraph" w:styleId="1">
    <w:name w:val="heading 1"/>
    <w:basedOn w:val="a"/>
    <w:link w:val="10"/>
    <w:uiPriority w:val="9"/>
    <w:qFormat/>
    <w:rsid w:val="00434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A6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344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4344E1"/>
    <w:pPr>
      <w:ind w:left="720"/>
      <w:contextualSpacing/>
    </w:pPr>
  </w:style>
  <w:style w:type="table" w:styleId="a5">
    <w:name w:val="Table Grid"/>
    <w:basedOn w:val="a1"/>
    <w:uiPriority w:val="59"/>
    <w:rsid w:val="00434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3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4E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6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1D04"/>
  </w:style>
  <w:style w:type="paragraph" w:styleId="aa">
    <w:name w:val="footer"/>
    <w:basedOn w:val="a"/>
    <w:link w:val="ab"/>
    <w:uiPriority w:val="99"/>
    <w:unhideWhenUsed/>
    <w:rsid w:val="0066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1D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4E1"/>
  </w:style>
  <w:style w:type="paragraph" w:styleId="1">
    <w:name w:val="heading 1"/>
    <w:basedOn w:val="a"/>
    <w:link w:val="10"/>
    <w:uiPriority w:val="9"/>
    <w:qFormat/>
    <w:rsid w:val="004344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A6C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344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4344E1"/>
    <w:pPr>
      <w:ind w:left="720"/>
      <w:contextualSpacing/>
    </w:pPr>
  </w:style>
  <w:style w:type="table" w:styleId="a5">
    <w:name w:val="Table Grid"/>
    <w:basedOn w:val="a1"/>
    <w:uiPriority w:val="59"/>
    <w:rsid w:val="00434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344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4E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6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61D04"/>
  </w:style>
  <w:style w:type="paragraph" w:styleId="aa">
    <w:name w:val="footer"/>
    <w:basedOn w:val="a"/>
    <w:link w:val="ab"/>
    <w:uiPriority w:val="99"/>
    <w:unhideWhenUsed/>
    <w:rsid w:val="00661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1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8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3829</Words>
  <Characters>21827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2017-12-11T12:27:00Z</dcterms:created>
  <dcterms:modified xsi:type="dcterms:W3CDTF">2018-06-06T06:21:00Z</dcterms:modified>
</cp:coreProperties>
</file>